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C6E3E" w14:textId="237482DB" w:rsidR="00AC69E1" w:rsidRDefault="00AC69E1" w:rsidP="000B3992">
      <w:pPr>
        <w:ind w:left="7788"/>
        <w:jc w:val="both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 xml:space="preserve">Warszawa, </w:t>
      </w:r>
      <w:r w:rsidR="0075133A">
        <w:rPr>
          <w:rFonts w:ascii="Poppins" w:hAnsi="Poppins" w:cs="Poppins"/>
          <w:b/>
          <w:bCs/>
          <w:sz w:val="20"/>
          <w:szCs w:val="20"/>
        </w:rPr>
        <w:t>1</w:t>
      </w:r>
      <w:r w:rsidR="00495DCB">
        <w:rPr>
          <w:rFonts w:ascii="Poppins" w:hAnsi="Poppins" w:cs="Poppins"/>
          <w:b/>
          <w:bCs/>
          <w:sz w:val="20"/>
          <w:szCs w:val="20"/>
        </w:rPr>
        <w:t>2</w:t>
      </w:r>
      <w:r>
        <w:rPr>
          <w:rFonts w:ascii="Poppins" w:hAnsi="Poppins" w:cs="Poppins"/>
          <w:b/>
          <w:bCs/>
          <w:sz w:val="20"/>
          <w:szCs w:val="20"/>
        </w:rPr>
        <w:t>.</w:t>
      </w:r>
      <w:r w:rsidR="002D244C">
        <w:rPr>
          <w:rFonts w:ascii="Poppins" w:hAnsi="Poppins" w:cs="Poppins"/>
          <w:b/>
          <w:bCs/>
          <w:sz w:val="20"/>
          <w:szCs w:val="20"/>
        </w:rPr>
        <w:t>0</w:t>
      </w:r>
      <w:r w:rsidR="00132788">
        <w:rPr>
          <w:rFonts w:ascii="Poppins" w:hAnsi="Poppins" w:cs="Poppins"/>
          <w:b/>
          <w:bCs/>
          <w:sz w:val="20"/>
          <w:szCs w:val="20"/>
        </w:rPr>
        <w:t>9</w:t>
      </w:r>
      <w:r>
        <w:rPr>
          <w:rFonts w:ascii="Poppins" w:hAnsi="Poppins" w:cs="Poppins"/>
          <w:b/>
          <w:bCs/>
          <w:sz w:val="20"/>
          <w:szCs w:val="20"/>
        </w:rPr>
        <w:t>.202</w:t>
      </w:r>
      <w:r w:rsidR="002D244C">
        <w:rPr>
          <w:rFonts w:ascii="Poppins" w:hAnsi="Poppins" w:cs="Poppins"/>
          <w:b/>
          <w:bCs/>
          <w:sz w:val="20"/>
          <w:szCs w:val="20"/>
        </w:rPr>
        <w:t>4</w:t>
      </w:r>
      <w:r>
        <w:rPr>
          <w:rFonts w:ascii="Poppins" w:hAnsi="Poppins" w:cs="Poppins"/>
          <w:b/>
          <w:bCs/>
          <w:sz w:val="20"/>
          <w:szCs w:val="20"/>
        </w:rPr>
        <w:t xml:space="preserve"> r.</w:t>
      </w:r>
    </w:p>
    <w:p w14:paraId="427E1844" w14:textId="635D0E48" w:rsidR="00AC69E1" w:rsidRDefault="00AC69E1" w:rsidP="000B3992">
      <w:pPr>
        <w:jc w:val="both"/>
        <w:rPr>
          <w:rFonts w:ascii="Poppins" w:hAnsi="Poppins" w:cs="Poppins"/>
          <w:b/>
          <w:bCs/>
          <w:sz w:val="20"/>
          <w:szCs w:val="20"/>
        </w:rPr>
      </w:pPr>
      <w:r w:rsidRPr="00765947">
        <w:rPr>
          <w:rFonts w:ascii="Poppins" w:hAnsi="Poppins" w:cs="Poppins"/>
          <w:b/>
          <w:bCs/>
          <w:sz w:val="20"/>
          <w:szCs w:val="20"/>
        </w:rPr>
        <w:t xml:space="preserve">Autor: </w:t>
      </w:r>
      <w:r w:rsidR="00495DCB">
        <w:rPr>
          <w:rFonts w:ascii="Poppins" w:hAnsi="Poppins" w:cs="Poppins"/>
          <w:b/>
          <w:bCs/>
          <w:sz w:val="20"/>
          <w:szCs w:val="20"/>
        </w:rPr>
        <w:t xml:space="preserve"> </w:t>
      </w:r>
      <w:r w:rsidRPr="00765947">
        <w:rPr>
          <w:rFonts w:ascii="Poppins" w:hAnsi="Poppins" w:cs="Poppins"/>
          <w:b/>
          <w:bCs/>
          <w:sz w:val="20"/>
          <w:szCs w:val="20"/>
        </w:rPr>
        <w:t>RynekPierwotny.pl</w:t>
      </w:r>
    </w:p>
    <w:p w14:paraId="017D589B" w14:textId="01C8E8E2" w:rsidR="004647DF" w:rsidRPr="00E1681E" w:rsidRDefault="00D622BD" w:rsidP="00612ED4">
      <w:pPr>
        <w:shd w:val="clear" w:color="auto" w:fill="FFFFFF"/>
        <w:spacing w:after="0" w:line="240" w:lineRule="auto"/>
        <w:jc w:val="center"/>
        <w:outlineLvl w:val="0"/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</w:pPr>
      <w:r w:rsidRPr="00E1681E"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  <w:t xml:space="preserve">Sytuacja na </w:t>
      </w:r>
      <w:r w:rsidR="00D00EFA"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  <w:t xml:space="preserve">7 największych </w:t>
      </w:r>
      <w:r w:rsidRPr="00E1681E"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  <w:t>rynk</w:t>
      </w:r>
      <w:r w:rsidR="00D00EFA"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  <w:t>ach</w:t>
      </w:r>
      <w:r w:rsidRPr="00E1681E"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  <w:t xml:space="preserve"> mieszkaniowy</w:t>
      </w:r>
      <w:r w:rsidR="00D00EFA"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  <w:t>ch</w:t>
      </w:r>
      <w:r w:rsidRPr="00E1681E"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  <w:t xml:space="preserve"> – sierpień 2024</w:t>
      </w:r>
      <w:r w:rsidR="00C11095">
        <w:rPr>
          <w:rFonts w:ascii="Poppins" w:eastAsia="Times New Roman" w:hAnsi="Poppins" w:cs="Poppins"/>
          <w:b/>
          <w:bCs/>
          <w:color w:val="23232D"/>
          <w:kern w:val="36"/>
          <w:sz w:val="44"/>
          <w:szCs w:val="44"/>
          <w:lang w:eastAsia="pl-PL"/>
        </w:rPr>
        <w:t xml:space="preserve"> [RAPORT]</w:t>
      </w:r>
    </w:p>
    <w:p w14:paraId="4BE01028" w14:textId="4CD71AFD" w:rsidR="001C3248" w:rsidRPr="00376773" w:rsidRDefault="0075133A" w:rsidP="003767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</w:pPr>
      <w:bookmarkStart w:id="0" w:name="_Hlk170464676"/>
      <w:r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>Przed rokiem sierpień był wyjątkowo pracowity dla deweloperów</w:t>
      </w:r>
      <w:r w:rsidR="001C3248"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, </w:t>
      </w:r>
      <w:r w:rsidR="00A9121D"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>gdyż</w:t>
      </w:r>
      <w:r w:rsidR="001C3248"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 w</w:t>
      </w:r>
      <w:r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 ofercie banków pojawił się „Bezpieczny Kredyt 2%”. W tym roku biura sprzedaży firm deweloperskich opustoszały.</w:t>
      </w:r>
      <w:r w:rsidR="00495DCB"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 W</w:t>
      </w:r>
      <w:r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yjątkiem </w:t>
      </w:r>
      <w:r w:rsidR="001C3248"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>może być</w:t>
      </w:r>
      <w:r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 Kraków, w którym sprzedaż nowych mieszkań </w:t>
      </w:r>
      <w:r w:rsidR="001C3248"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w miesiącach wakacyjnych </w:t>
      </w:r>
      <w:r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wyraźnie się ożywiła, zaś deweloperzy zwiększyli ich podaż. </w:t>
      </w:r>
      <w:r w:rsidR="001C3248" w:rsidRPr="00376773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>Niestety, nie zatrzymało to wzrostu cen</w:t>
      </w:r>
      <w:r w:rsidR="00506150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 – wynika z raportu BIG DATA RynekPierwotny.pl.</w:t>
      </w:r>
    </w:p>
    <w:p w14:paraId="463F2FCA" w14:textId="0566DC55" w:rsidR="00EE7907" w:rsidRPr="00376773" w:rsidRDefault="00E04B2B" w:rsidP="003767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Nie </w:t>
      </w:r>
      <w:r w:rsidR="001C3248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we wszystkich największych miastach potencjalni nabywcy nowych mieszkań udali się </w:t>
      </w:r>
      <w:r w:rsidR="00946A9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sierpniu </w:t>
      </w:r>
      <w:r w:rsidR="001C3248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na wakacje, zaś deweloperzy wyhamowali podaż</w:t>
      </w: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. </w:t>
      </w:r>
      <w:r w:rsidR="00495DC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Wskazują na to</w:t>
      </w:r>
      <w:r w:rsidR="00946A9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</w:t>
      </w:r>
      <w:r w:rsidR="001C3248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dan</w:t>
      </w:r>
      <w:r w:rsidR="00946A9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e</w:t>
      </w:r>
      <w:r w:rsidR="001C3248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BIG DATA RynekPierwotny.pl, </w:t>
      </w:r>
      <w:r w:rsidR="00946A9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z których wynika, że </w:t>
      </w:r>
      <w:r w:rsidR="001C3248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więcej niż w lipcu umów zawarli deweloperzy w Krakowie (+6%), Wrocławiu (+23%), Trójmieście (+37%) i Poznaniu (+27%). </w:t>
      </w:r>
      <w:r w:rsidR="00460BC9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Z kolei</w:t>
      </w:r>
      <w:r w:rsidR="00EE7907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s</w:t>
      </w:r>
      <w:r w:rsidR="001C3248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padek sprzedaży </w:t>
      </w:r>
      <w:r w:rsidR="00A9121D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miał miejsce </w:t>
      </w:r>
      <w:r w:rsidR="001C3248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 Łodzi (-4%), Warszawie (-8%) i w miastach Górnośląsko-Zagłębiowskiej Metropolii (-49%).</w:t>
      </w:r>
      <w:r w:rsidR="001C726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</w:t>
      </w:r>
      <w:r w:rsidR="00495DC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Prawdopodobnie</w:t>
      </w:r>
      <w:r w:rsidR="001C726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cały </w:t>
      </w:r>
      <w:r w:rsidR="001C726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trzeci kwartał będzie zdecydowanie gorszy pod względem sprzedażowym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niż </w:t>
      </w:r>
      <w:r w:rsidR="00495DC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dwa poprzednie</w:t>
      </w:r>
      <w:r w:rsidR="001C726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. </w:t>
      </w:r>
      <w:r w:rsidR="00EE7907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</w:t>
      </w:r>
    </w:p>
    <w:p w14:paraId="1ECE2E9F" w14:textId="057286A1" w:rsidR="00EE7907" w:rsidRPr="00376773" w:rsidRDefault="004C45CD" w:rsidP="00376773">
      <w:pPr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>„</w:t>
      </w:r>
      <w:r w:rsidR="008C5490" w:rsidRPr="004C45CD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>Najwyraźniej c</w:t>
      </w:r>
      <w:r w:rsidR="00EE7907" w:rsidRPr="004C45CD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zęść potencjalnych nabywców uznała, że nie ma powodu do pośpiechu. Wśród nich są najpewniej tacy, którzy mają gotówkę lub wystarczającą zdolność kredytową. Z kolei ci, którzy nie mogą sobie obecnie pozwolić na kredyt z powodu zbyt wysokiego oprocentowania, czekają na korzystniejsze warunki kredytowe. W tej grupie jest zaś wielu takich, którzy wciąż liczą na nowy program wsparcia kredytobiorców „Kredyt mieszkaniowy </w:t>
      </w:r>
      <w:r w:rsidR="00495DCB" w:rsidRPr="004C45CD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>#</w:t>
      </w:r>
      <w:r w:rsidR="00EE7907" w:rsidRPr="004C45CD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naStart”. </w:t>
      </w:r>
      <w:r w:rsidR="008C5490" w:rsidRPr="004C45CD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>Jednak r</w:t>
      </w:r>
      <w:r w:rsidR="00EE7907" w:rsidRPr="004C45CD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ząd </w:t>
      </w:r>
      <w:r w:rsidR="008C5490" w:rsidRPr="004C45CD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wciąż </w:t>
      </w:r>
      <w:r w:rsidR="00EE7907" w:rsidRPr="004C45CD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>nie podjął ostatecznej decyzji w tej sprawie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”– tłumaczy </w:t>
      </w:r>
      <w:r w:rsidRPr="00FF1C39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 xml:space="preserve">Marek Wielgo, ekspert portalu </w:t>
      </w:r>
      <w:hyperlink r:id="rId8" w:history="1">
        <w:r w:rsidRPr="00FF1C39">
          <w:rPr>
            <w:rStyle w:val="Hipercze"/>
            <w:rFonts w:ascii="Poppins" w:eastAsia="Times New Roman" w:hAnsi="Poppins" w:cs="Poppins"/>
            <w:b/>
            <w:bCs/>
            <w:sz w:val="21"/>
            <w:szCs w:val="21"/>
            <w:lang w:eastAsia="pl-PL"/>
          </w:rPr>
          <w:t>RynekPierwotny.pl</w:t>
        </w:r>
      </w:hyperlink>
      <w:r w:rsidR="00495DCB" w:rsidRPr="00FF1C39">
        <w:rPr>
          <w:rFonts w:ascii="Poppins" w:eastAsia="Times New Roman" w:hAnsi="Poppins" w:cs="Poppins"/>
          <w:b/>
          <w:bCs/>
          <w:color w:val="23232D"/>
          <w:sz w:val="21"/>
          <w:szCs w:val="21"/>
          <w:lang w:eastAsia="pl-PL"/>
        </w:rPr>
        <w:t>.</w:t>
      </w:r>
    </w:p>
    <w:p w14:paraId="22BE5882" w14:textId="17855D24" w:rsidR="00D861C4" w:rsidRPr="00376773" w:rsidRDefault="00EE7907" w:rsidP="00376773">
      <w:pPr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Co ciekawe,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jedynie 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</w:t>
      </w:r>
      <w:r w:rsidR="001C726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Krak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owie</w:t>
      </w:r>
      <w:r w:rsidR="001C726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popyt na nowe mieszkania </w:t>
      </w:r>
      <w:r w:rsidR="001C726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dwóch </w:t>
      </w:r>
      <w:r w:rsidR="001C726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miesiącach wakacyjnych wyraźnie się ożywił.</w:t>
      </w: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Czy p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odobnie ma się rzecz z podażą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?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Wprawdzie s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ierpień przyniósł jej </w:t>
      </w:r>
      <w:r w:rsidR="0002559A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duże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odbicie w Trójmieście (w porównaniu z lipcem aż o 162%), Poznaniu (+82%) i Warszawie (+21%)</w:t>
      </w:r>
      <w:r w:rsidR="00495DC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, j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ednak </w:t>
      </w:r>
      <w:r w:rsidR="00495DC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pozostałych metropoliach deweloperzy wprowadzili w sierpniu do sprzedaży znacznie mniej mieszkań niż miesiąc wcześniej. </w:t>
      </w: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 dodatku w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ygląda na to, że w 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trzecim kwartale</w:t>
      </w:r>
      <w:r w:rsidR="00495DCB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br.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niemal wszystkich metropoliach </w:t>
      </w: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nowa 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podaż będzie 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dużo niższa niż w miesiącach poprzedzających wakacje. </w:t>
      </w: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Jednak i</w:t>
      </w:r>
      <w:r w:rsidR="007B677A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tym razem wyjątkiem jest Kraków, w którym deweloperzy ostro zabrali się do pracy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.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Co prawda 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sierpień był nieco słabszy w ich wykonaniu</w:t>
      </w:r>
      <w:r w:rsidR="0002559A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, j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ednak w ciągu dwóch miesięcy dostarczyli </w:t>
      </w:r>
      <w:r w:rsidR="00D861C4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oni 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na rynek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zdecydowanie </w:t>
      </w:r>
      <w:r w:rsidR="004240DF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więcej mieszkań niż w pierwszym i drugim kwartale. </w:t>
      </w:r>
    </w:p>
    <w:p w14:paraId="585DE92F" w14:textId="595C6915" w:rsidR="001C726B" w:rsidRPr="00376773" w:rsidRDefault="003E1300" w:rsidP="00376773">
      <w:pPr>
        <w:jc w:val="both"/>
        <w:rPr>
          <w:rFonts w:ascii="Poppins" w:hAnsi="Poppins" w:cs="Poppins"/>
          <w:sz w:val="21"/>
          <w:szCs w:val="21"/>
        </w:rPr>
      </w:pP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Inna sytuacja panuje</w:t>
      </w:r>
      <w:r w:rsidR="002C7452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w Łodzi i Górnośląsko-Zagłębiowskiej Metropolii, gdzie w ostatnich miesiącach gasła sprzedaż nowych mieszkań. Najpewniej wynika to z faktu, że kupujący znacznie częściej niż w Krakowie posiłkują się kredytem.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L</w:t>
      </w:r>
      <w:r w:rsidR="00EE7907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ekkim niepokojem może </w:t>
      </w:r>
      <w:r w:rsidR="008C5490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więc </w:t>
      </w:r>
      <w:r w:rsidR="00EE7907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napawać spadek </w:t>
      </w:r>
      <w:r w:rsidR="00393222" w:rsidRPr="00376773">
        <w:rPr>
          <w:rFonts w:ascii="Poppins" w:hAnsi="Poppins" w:cs="Poppins"/>
          <w:sz w:val="21"/>
          <w:szCs w:val="21"/>
        </w:rPr>
        <w:t>liczby wniosków kredytowych</w:t>
      </w:r>
      <w:r w:rsidR="008C5490" w:rsidRPr="00376773">
        <w:rPr>
          <w:rFonts w:ascii="Poppins" w:hAnsi="Poppins" w:cs="Poppins"/>
          <w:sz w:val="21"/>
          <w:szCs w:val="21"/>
        </w:rPr>
        <w:t xml:space="preserve"> w sierpniu</w:t>
      </w:r>
      <w:r w:rsidR="00393222" w:rsidRPr="00376773">
        <w:rPr>
          <w:rFonts w:ascii="Poppins" w:hAnsi="Poppins" w:cs="Poppins"/>
          <w:sz w:val="21"/>
          <w:szCs w:val="21"/>
        </w:rPr>
        <w:t>. Biuro Informacji Kredytowej (BIK) podało, że do banków zgłosiło się ok. 26,4 tys. chętnych, czyli o 14% mniej niż miesiąc wcześniej. Można to jednak tłumaczyć sezonem urlopowym.</w:t>
      </w:r>
    </w:p>
    <w:p w14:paraId="2D0CFCA2" w14:textId="55C057D8" w:rsidR="00335BD1" w:rsidRPr="00376773" w:rsidRDefault="00335BD1" w:rsidP="00376773">
      <w:pPr>
        <w:jc w:val="center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376773">
        <w:rPr>
          <w:rFonts w:ascii="Poppins" w:eastAsia="Times New Roman" w:hAnsi="Poppins" w:cs="Poppins"/>
          <w:noProof/>
          <w:color w:val="23232D"/>
          <w:sz w:val="21"/>
          <w:szCs w:val="21"/>
          <w:lang w:eastAsia="pl-PL"/>
        </w:rPr>
        <w:lastRenderedPageBreak/>
        <w:drawing>
          <wp:inline distT="0" distB="0" distL="0" distR="0" wp14:anchorId="59F87E2A" wp14:editId="77090219">
            <wp:extent cx="5052060" cy="2795383"/>
            <wp:effectExtent l="0" t="0" r="0" b="5080"/>
            <wp:docPr id="1976186763" name="Obraz 2" descr="Obraz zawierający tekst, zrzut ekranu, diagram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86763" name="Obraz 2" descr="Obraz zawierający tekst, zrzut ekranu, diagram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81" cy="28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A634" w14:textId="7F6D0327" w:rsidR="00EE7907" w:rsidRDefault="00335BD1" w:rsidP="003767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Kolejny niepokojący fakt jest taki, że </w:t>
      </w:r>
      <w:r w:rsidR="00EE7907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Trójmieście, Łodzi, Poznaniu i </w:t>
      </w:r>
      <w:r w:rsidR="00EE7907" w:rsidRPr="00376773">
        <w:rPr>
          <w:rFonts w:ascii="Poppins" w:hAnsi="Poppins" w:cs="Poppins"/>
          <w:sz w:val="21"/>
          <w:szCs w:val="21"/>
          <w:shd w:val="clear" w:color="auto" w:fill="FFFFFF"/>
        </w:rPr>
        <w:t>Górnośląsko-Zagłębiowskiej Metropoli</w:t>
      </w:r>
      <w:r w:rsidR="001E2DC0">
        <w:rPr>
          <w:rFonts w:ascii="Poppins" w:hAnsi="Poppins" w:cs="Poppins"/>
          <w:sz w:val="21"/>
          <w:szCs w:val="21"/>
          <w:shd w:val="clear" w:color="auto" w:fill="FFFFFF"/>
        </w:rPr>
        <w:t>i</w:t>
      </w:r>
      <w:r w:rsidR="00EE7907" w:rsidRPr="00376773">
        <w:rPr>
          <w:rFonts w:ascii="Poppins" w:hAnsi="Poppins" w:cs="Poppins"/>
          <w:sz w:val="21"/>
          <w:szCs w:val="21"/>
          <w:shd w:val="clear" w:color="auto" w:fill="FFFFFF"/>
        </w:rPr>
        <w:t xml:space="preserve"> deweloperzy wprowadzili w sierpniu do sprzedaży mniej mieszkań niż sprzedali. </w:t>
      </w:r>
      <w:r w:rsidR="00EE7907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Mimo to sytuacja kupujących we wszystkich metropoliach wciąż jest dość komfortowa, jeśli chodzi o wielkość oferty - w sierpniu w większości miast wzrosła. </w:t>
      </w:r>
      <w:r w:rsidR="0002559A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</w:t>
      </w:r>
      <w:r w:rsidR="00EE7907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porównaniu z końcówką ubiegłego roku wzrost oferty jest wciąż imponujący, szczególnie we Wrocławiu (+71%), Krakowie (+44%) i Poznaniu (+43%). Rosnąca konkurencja spowodowała</w:t>
      </w:r>
      <w:r w:rsidR="0002559A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także</w:t>
      </w:r>
      <w:r w:rsidR="00EE7907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, że deweloperzy zaczęli oferować różnego rodzaju bonusy, a nawet kilkuprocentowe rabaty.</w:t>
      </w:r>
    </w:p>
    <w:p w14:paraId="180D5E81" w14:textId="0B6ABD76" w:rsidR="00216F7F" w:rsidRPr="00376773" w:rsidRDefault="00216F7F" w:rsidP="00216F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>
        <w:rPr>
          <w:rFonts w:ascii="Poppins" w:eastAsia="Times New Roman" w:hAnsi="Poppins" w:cs="Poppins"/>
          <w:noProof/>
          <w:color w:val="23232D"/>
          <w:sz w:val="21"/>
          <w:szCs w:val="21"/>
          <w:lang w:eastAsia="pl-PL"/>
        </w:rPr>
        <w:drawing>
          <wp:inline distT="0" distB="0" distL="0" distR="0" wp14:anchorId="4438F09F" wp14:editId="50D6ECAC">
            <wp:extent cx="5440680" cy="3023294"/>
            <wp:effectExtent l="0" t="0" r="7620" b="5715"/>
            <wp:docPr id="8607986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20" cy="30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95D1" w14:textId="6BC8B4A0" w:rsidR="00EC54A4" w:rsidRPr="00376773" w:rsidRDefault="00377F82" w:rsidP="003767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376773">
        <w:rPr>
          <w:rFonts w:ascii="Poppins" w:hAnsi="Poppins" w:cs="Poppins"/>
          <w:sz w:val="21"/>
          <w:szCs w:val="21"/>
        </w:rPr>
        <w:t>Niestety, w dalszym ciągu nie zatrzymało to wzrostu średniej ceny metra kwadratowego mieszkań dostępnych w ofercie firm deweloperskich. W Warszawie</w:t>
      </w:r>
      <w:r w:rsidR="00EC54A4" w:rsidRPr="00376773">
        <w:rPr>
          <w:rFonts w:ascii="Poppins" w:hAnsi="Poppins" w:cs="Poppins"/>
          <w:sz w:val="21"/>
          <w:szCs w:val="21"/>
        </w:rPr>
        <w:t>, Krakowie, Wrocławiu i Poznaniu</w:t>
      </w:r>
      <w:r w:rsidRPr="00376773">
        <w:rPr>
          <w:rFonts w:ascii="Poppins" w:hAnsi="Poppins" w:cs="Poppins"/>
          <w:sz w:val="21"/>
          <w:szCs w:val="21"/>
        </w:rPr>
        <w:t xml:space="preserve"> </w:t>
      </w:r>
      <w:r w:rsidR="00EC54A4" w:rsidRPr="00376773">
        <w:rPr>
          <w:rFonts w:ascii="Poppins" w:hAnsi="Poppins" w:cs="Poppins"/>
          <w:sz w:val="21"/>
          <w:szCs w:val="21"/>
        </w:rPr>
        <w:t xml:space="preserve">sierpień przyniósł wzrost średniej o 1%. </w:t>
      </w:r>
    </w:p>
    <w:p w14:paraId="0F01E02F" w14:textId="46138901" w:rsidR="00EC54A4" w:rsidRPr="00376773" w:rsidRDefault="00EC54A4" w:rsidP="003767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376773">
        <w:rPr>
          <w:rFonts w:ascii="Poppins" w:eastAsia="Times New Roman" w:hAnsi="Poppins" w:cs="Poppins"/>
          <w:noProof/>
          <w:color w:val="23232D"/>
          <w:sz w:val="21"/>
          <w:szCs w:val="21"/>
          <w:lang w:eastAsia="pl-PL"/>
        </w:rPr>
        <w:lastRenderedPageBreak/>
        <w:drawing>
          <wp:inline distT="0" distB="0" distL="0" distR="0" wp14:anchorId="569E391D" wp14:editId="4FD6CA15">
            <wp:extent cx="5494020" cy="3050950"/>
            <wp:effectExtent l="0" t="0" r="0" b="0"/>
            <wp:docPr id="523058865" name="Obraz 6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58865" name="Obraz 6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17" cy="305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A3A9" w14:textId="1A223D90" w:rsidR="003323CD" w:rsidRPr="00376773" w:rsidRDefault="00EB671C" w:rsidP="00376773">
      <w:pPr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376773">
        <w:rPr>
          <w:rFonts w:ascii="Poppins" w:hAnsi="Poppins" w:cs="Poppins"/>
          <w:sz w:val="21"/>
          <w:szCs w:val="21"/>
        </w:rPr>
        <w:t>Warto dodać</w:t>
      </w:r>
      <w:r w:rsidR="003323CD" w:rsidRPr="00376773">
        <w:rPr>
          <w:rFonts w:ascii="Poppins" w:hAnsi="Poppins" w:cs="Poppins"/>
          <w:sz w:val="21"/>
          <w:szCs w:val="21"/>
        </w:rPr>
        <w:t xml:space="preserve">, że w stolicy Wielkopolski </w:t>
      </w:r>
      <w:r w:rsidR="00BA1CAD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przerwana została seria trzech miesięcy bez podwyżek</w:t>
      </w:r>
      <w:r w:rsidR="00BA1CAD" w:rsidRPr="00376773">
        <w:rPr>
          <w:rFonts w:ascii="Poppins" w:hAnsi="Poppins" w:cs="Poppins"/>
          <w:sz w:val="21"/>
          <w:szCs w:val="21"/>
        </w:rPr>
        <w:t>, zaś w Krakowie trwała ona dwa miesiące. M</w:t>
      </w:r>
      <w:r w:rsidR="00BA1CAD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iesiąc temu </w:t>
      </w: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nastąpił tam nawet</w:t>
      </w:r>
      <w:r w:rsidR="00BA1CAD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pierwszy po 2,5 roku spadek średniej ceny metra kwadratowego. </w:t>
      </w:r>
      <w:r w:rsidR="003323CD" w:rsidRPr="00376773">
        <w:rPr>
          <w:rFonts w:ascii="Poppins" w:hAnsi="Poppins" w:cs="Poppins"/>
          <w:sz w:val="21"/>
          <w:szCs w:val="21"/>
        </w:rPr>
        <w:t>Z kolei w Trójmieście, Łodzi i Aglomeracji Katowickiej utrzymała ona poziom z lipca</w:t>
      </w:r>
      <w:r w:rsidR="003323CD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. Warto </w:t>
      </w:r>
      <w:r w:rsidR="00BA1CAD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też </w:t>
      </w:r>
      <w:r w:rsidR="003323CD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zauważyć, że n</w:t>
      </w:r>
      <w:r w:rsidR="003323CD" w:rsidRPr="00376773">
        <w:rPr>
          <w:rFonts w:ascii="Poppins" w:hAnsi="Poppins" w:cs="Poppins"/>
          <w:color w:val="23232D"/>
          <w:sz w:val="21"/>
          <w:szCs w:val="21"/>
        </w:rPr>
        <w:t>a Śląsku i w Zagłębiu stabilizacja cenowa trwa już od ko</w:t>
      </w:r>
      <w:r w:rsidRPr="00376773">
        <w:rPr>
          <w:rFonts w:ascii="Poppins" w:hAnsi="Poppins" w:cs="Poppins"/>
          <w:color w:val="23232D"/>
          <w:sz w:val="21"/>
          <w:szCs w:val="21"/>
        </w:rPr>
        <w:t>ń</w:t>
      </w:r>
      <w:r w:rsidR="003323CD" w:rsidRPr="00376773">
        <w:rPr>
          <w:rFonts w:ascii="Poppins" w:hAnsi="Poppins" w:cs="Poppins"/>
          <w:color w:val="23232D"/>
          <w:sz w:val="21"/>
          <w:szCs w:val="21"/>
        </w:rPr>
        <w:t xml:space="preserve">cówki ubiegłego roku. </w:t>
      </w:r>
    </w:p>
    <w:p w14:paraId="1AFAD4DD" w14:textId="141EF3F2" w:rsidR="001F548C" w:rsidRPr="00376773" w:rsidRDefault="00BA1CAD" w:rsidP="003767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hAnsi="Poppins" w:cs="Poppins"/>
          <w:sz w:val="21"/>
          <w:szCs w:val="21"/>
          <w:shd w:val="clear" w:color="auto" w:fill="FFFFFF"/>
        </w:rPr>
      </w:pP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Sierpień nie przyniósł zmian w </w:t>
      </w:r>
      <w:r w:rsidRPr="00376773">
        <w:rPr>
          <w:rFonts w:ascii="Poppins" w:hAnsi="Poppins" w:cs="Poppins"/>
          <w:color w:val="23232D"/>
          <w:sz w:val="21"/>
          <w:szCs w:val="21"/>
        </w:rPr>
        <w:t xml:space="preserve">wyścigu o miano </w:t>
      </w:r>
      <w:r w:rsidRPr="00376773">
        <w:rPr>
          <w:rFonts w:ascii="Poppins" w:hAnsi="Poppins" w:cs="Poppins"/>
          <w:sz w:val="21"/>
          <w:szCs w:val="21"/>
          <w:shd w:val="clear" w:color="auto" w:fill="FFFFFF"/>
        </w:rPr>
        <w:t xml:space="preserve">tegorocznego lidera podwyżek. Wciąż prowadzą Łódź ex aequo z Wrocławiem. </w:t>
      </w:r>
      <w:r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Od początku roku średnia cena metra kwadratowego wzrosła tam aż o 10%. Poznań strącił Warszawę z drugiego na trzecie miejsce na podium. Podwyżki wyniosły tam odpowiednio 8% i 6%. Z kolei w Krakowie średnia poszła w górę o 5%, w Trójmieście – o 4%, a w miastach </w:t>
      </w:r>
      <w:r w:rsidRPr="00376773">
        <w:rPr>
          <w:rFonts w:ascii="Poppins" w:hAnsi="Poppins" w:cs="Poppins"/>
          <w:sz w:val="21"/>
          <w:szCs w:val="21"/>
          <w:shd w:val="clear" w:color="auto" w:fill="FFFFFF"/>
        </w:rPr>
        <w:t>Górnośląsko-Zagłębiowskiej Metropol</w:t>
      </w:r>
      <w:r w:rsidR="001E2DC0">
        <w:rPr>
          <w:rFonts w:ascii="Poppins" w:hAnsi="Poppins" w:cs="Poppins"/>
          <w:sz w:val="21"/>
          <w:szCs w:val="21"/>
          <w:shd w:val="clear" w:color="auto" w:fill="FFFFFF"/>
        </w:rPr>
        <w:t>i</w:t>
      </w:r>
      <w:r w:rsidRPr="00376773">
        <w:rPr>
          <w:rFonts w:ascii="Poppins" w:hAnsi="Poppins" w:cs="Poppins"/>
          <w:sz w:val="21"/>
          <w:szCs w:val="21"/>
          <w:shd w:val="clear" w:color="auto" w:fill="FFFFFF"/>
        </w:rPr>
        <w:t>i –„tylko” o 3%.</w:t>
      </w:r>
    </w:p>
    <w:p w14:paraId="1EC2BB1A" w14:textId="4FACA303" w:rsidR="00BA1CAD" w:rsidRPr="00376773" w:rsidRDefault="00BA1CAD" w:rsidP="003767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hAnsi="Poppins" w:cs="Poppins"/>
          <w:sz w:val="21"/>
          <w:szCs w:val="21"/>
          <w:shd w:val="clear" w:color="auto" w:fill="FFFFFF"/>
        </w:rPr>
      </w:pPr>
      <w:r w:rsidRPr="00376773">
        <w:rPr>
          <w:rFonts w:ascii="Poppins" w:hAnsi="Poppins" w:cs="Poppins"/>
          <w:noProof/>
          <w:sz w:val="21"/>
          <w:szCs w:val="21"/>
          <w:shd w:val="clear" w:color="auto" w:fill="FFFFFF"/>
        </w:rPr>
        <w:drawing>
          <wp:inline distT="0" distB="0" distL="0" distR="0" wp14:anchorId="3BA75DB5" wp14:editId="28C2B643">
            <wp:extent cx="5760720" cy="3189147"/>
            <wp:effectExtent l="0" t="0" r="0" b="0"/>
            <wp:docPr id="904747775" name="Obraz 2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47775" name="Obraz 2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10" cy="31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BFA6" w14:textId="0D451B7E" w:rsidR="001F548C" w:rsidRPr="00376773" w:rsidRDefault="00A91ED6" w:rsidP="00376773">
      <w:pPr>
        <w:jc w:val="both"/>
        <w:rPr>
          <w:rFonts w:ascii="Poppins" w:eastAsia="Times New Roman" w:hAnsi="Poppins" w:cs="Poppins"/>
          <w:sz w:val="21"/>
          <w:szCs w:val="21"/>
        </w:rPr>
      </w:pPr>
      <w:r w:rsidRPr="00376773">
        <w:rPr>
          <w:rFonts w:ascii="Poppins" w:hAnsi="Poppins" w:cs="Poppins"/>
          <w:sz w:val="21"/>
          <w:szCs w:val="21"/>
          <w:shd w:val="clear" w:color="auto" w:fill="FFFFFF"/>
        </w:rPr>
        <w:lastRenderedPageBreak/>
        <w:t>Problem w tym</w:t>
      </w:r>
      <w:r w:rsidR="001F548C" w:rsidRPr="00376773">
        <w:rPr>
          <w:rFonts w:ascii="Poppins" w:hAnsi="Poppins" w:cs="Poppins"/>
          <w:sz w:val="21"/>
          <w:szCs w:val="21"/>
          <w:shd w:val="clear" w:color="auto" w:fill="FFFFFF"/>
        </w:rPr>
        <w:t xml:space="preserve">, </w:t>
      </w:r>
      <w:r w:rsidRPr="00376773">
        <w:rPr>
          <w:rFonts w:ascii="Poppins" w:hAnsi="Poppins" w:cs="Poppins"/>
          <w:sz w:val="21"/>
          <w:szCs w:val="21"/>
          <w:shd w:val="clear" w:color="auto" w:fill="FFFFFF"/>
        </w:rPr>
        <w:t xml:space="preserve">że </w:t>
      </w:r>
      <w:r w:rsidR="001F548C" w:rsidRPr="00376773">
        <w:rPr>
          <w:rFonts w:ascii="Poppins" w:hAnsi="Poppins" w:cs="Poppins"/>
          <w:sz w:val="21"/>
          <w:szCs w:val="21"/>
          <w:shd w:val="clear" w:color="auto" w:fill="FFFFFF"/>
        </w:rPr>
        <w:t>mieszkania w nowych inwestycjach drożeją z</w:t>
      </w:r>
      <w:r w:rsidR="001F548C" w:rsidRPr="00376773">
        <w:rPr>
          <w:rFonts w:ascii="Poppins" w:eastAsia="Times New Roman" w:hAnsi="Poppins" w:cs="Poppins"/>
          <w:sz w:val="21"/>
          <w:szCs w:val="21"/>
        </w:rPr>
        <w:t xml:space="preserve"> przyczyn często niezależnych od deweloperów. Chodzi </w:t>
      </w:r>
      <w:r w:rsidRPr="00376773">
        <w:rPr>
          <w:rFonts w:ascii="Poppins" w:eastAsia="Times New Roman" w:hAnsi="Poppins" w:cs="Poppins"/>
          <w:sz w:val="21"/>
          <w:szCs w:val="21"/>
        </w:rPr>
        <w:t xml:space="preserve">zwłaszcza </w:t>
      </w:r>
      <w:r w:rsidR="001F548C" w:rsidRPr="00376773">
        <w:rPr>
          <w:rFonts w:ascii="Poppins" w:eastAsia="Times New Roman" w:hAnsi="Poppins" w:cs="Poppins"/>
          <w:sz w:val="21"/>
          <w:szCs w:val="21"/>
        </w:rPr>
        <w:t xml:space="preserve">o ceny działek </w:t>
      </w:r>
      <w:r w:rsidRPr="00376773">
        <w:rPr>
          <w:rFonts w:ascii="Poppins" w:eastAsia="Times New Roman" w:hAnsi="Poppins" w:cs="Poppins"/>
          <w:sz w:val="21"/>
          <w:szCs w:val="21"/>
        </w:rPr>
        <w:t>nadających się pod zabudowę mieszkaniową oraz</w:t>
      </w:r>
      <w:r w:rsidR="001F548C" w:rsidRPr="00376773">
        <w:rPr>
          <w:rFonts w:ascii="Poppins" w:eastAsia="Times New Roman" w:hAnsi="Poppins" w:cs="Poppins"/>
          <w:sz w:val="21"/>
          <w:szCs w:val="21"/>
        </w:rPr>
        <w:t xml:space="preserve"> koszty budowy. </w:t>
      </w:r>
      <w:r w:rsidR="001F548C" w:rsidRPr="00376773">
        <w:rPr>
          <w:rFonts w:ascii="Poppins" w:hAnsi="Poppins" w:cs="Poppins"/>
          <w:sz w:val="21"/>
          <w:szCs w:val="21"/>
        </w:rPr>
        <w:t xml:space="preserve">Według ostatnich danych GUS, po 12 miesiącach </w:t>
      </w:r>
      <w:r w:rsidR="001F548C" w:rsidRPr="00376773">
        <w:rPr>
          <w:rFonts w:ascii="Poppins" w:hAnsi="Poppins" w:cs="Poppins"/>
          <w:sz w:val="21"/>
          <w:szCs w:val="21"/>
          <w:shd w:val="clear" w:color="auto" w:fill="FFFFFF"/>
        </w:rPr>
        <w:t xml:space="preserve">koszty budowy budynków były 5,4% wyższe niż rok wcześniej, a w porównaniu z grudniem ubiegłego roku poszły w górę o 2,6%.  To niewiele w porównaniu z ubiegłym rokiem. Niestety, istnieje spore prawdopodobieństwo, że w najbliższych miesiącach tempo wzrostu kosztów budowy znów przyspieszy. Najpewniej czeka nas bowiem wysyp inwestycji dofinansowanych przez Unię Europejską m.in. w ramach Krajowego Planu Odbudowy. To może oznaczać również wzrost cen wielu materiałów budowlanych. </w:t>
      </w:r>
    </w:p>
    <w:p w14:paraId="0E5DB7E8" w14:textId="6A37DEC6" w:rsidR="000B2F75" w:rsidRPr="00376773" w:rsidRDefault="001F548C" w:rsidP="003767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sz w:val="21"/>
          <w:szCs w:val="21"/>
        </w:rPr>
      </w:pPr>
      <w:r w:rsidRPr="00376773">
        <w:rPr>
          <w:rFonts w:ascii="Poppins" w:hAnsi="Poppins" w:cs="Poppins"/>
          <w:sz w:val="21"/>
          <w:szCs w:val="21"/>
          <w:shd w:val="clear" w:color="auto" w:fill="FFFFFF"/>
        </w:rPr>
        <w:t>„</w:t>
      </w:r>
      <w:r w:rsidR="00EB671C" w:rsidRPr="00376773">
        <w:rPr>
          <w:rFonts w:ascii="Poppins" w:hAnsi="Poppins" w:cs="Poppins"/>
          <w:sz w:val="21"/>
          <w:szCs w:val="21"/>
          <w:shd w:val="clear" w:color="auto" w:fill="FFFFFF"/>
        </w:rPr>
        <w:t>O</w:t>
      </w:r>
      <w:r w:rsidRPr="00376773">
        <w:rPr>
          <w:rFonts w:ascii="Poppins" w:hAnsi="Poppins" w:cs="Poppins"/>
          <w:sz w:val="21"/>
          <w:szCs w:val="21"/>
          <w:shd w:val="clear" w:color="auto" w:fill="FFFFFF"/>
        </w:rPr>
        <w:t xml:space="preserve">fiarą” rosnących kosztów budowy i cen działek są zaś głównie młodzi ludzie, szukający mieszkań w tzw. segmencie podstawowym. Przy założeniu, że </w:t>
      </w:r>
      <w:r w:rsidRPr="00376773">
        <w:rPr>
          <w:rFonts w:ascii="Poppins" w:eastAsia="Times New Roman" w:hAnsi="Poppins" w:cs="Poppins"/>
          <w:sz w:val="21"/>
          <w:szCs w:val="21"/>
        </w:rPr>
        <w:t xml:space="preserve">obejmuje on jedną czwartą najtańszych mieszkań, w ciągu ośmiu miesięcy tego roku ich średnia cena metra kwadratowego wzrosła w Warszawie aż o 17%! Dla porównania średnia dla wszystkich oferowanych przez warszawskich deweloperów mieszkań podskoczyła w tym okresie o 6%. </w:t>
      </w:r>
    </w:p>
    <w:p w14:paraId="07C018FE" w14:textId="464002AA" w:rsidR="000B2F75" w:rsidRPr="00376773" w:rsidRDefault="000B2F75" w:rsidP="003767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sz w:val="21"/>
          <w:szCs w:val="21"/>
        </w:rPr>
      </w:pPr>
      <w:r w:rsidRPr="00376773">
        <w:rPr>
          <w:rFonts w:ascii="Poppins" w:eastAsia="Times New Roman" w:hAnsi="Poppins" w:cs="Poppins"/>
          <w:sz w:val="21"/>
          <w:szCs w:val="21"/>
        </w:rPr>
        <w:t xml:space="preserve">Ci, którzy kupią mieszkanie w Warszawie o powierzchni 50 m kw. w średniej cenie metra kwadratowego ok. 13 tys. zł zapłacą średnio o ponad 93 tys. zł więcej niż zapłaciliby na początku roku, gdy metr kwadratowy </w:t>
      </w:r>
      <w:r w:rsidR="00EB671C" w:rsidRPr="00376773">
        <w:rPr>
          <w:rFonts w:ascii="Poppins" w:eastAsia="Times New Roman" w:hAnsi="Poppins" w:cs="Poppins"/>
          <w:sz w:val="21"/>
          <w:szCs w:val="21"/>
        </w:rPr>
        <w:t>„</w:t>
      </w:r>
      <w:r w:rsidRPr="00376773">
        <w:rPr>
          <w:rFonts w:ascii="Poppins" w:eastAsia="Times New Roman" w:hAnsi="Poppins" w:cs="Poppins"/>
          <w:sz w:val="21"/>
          <w:szCs w:val="21"/>
        </w:rPr>
        <w:t>taniego mieszkania</w:t>
      </w:r>
      <w:r w:rsidR="00EB671C" w:rsidRPr="00376773">
        <w:rPr>
          <w:rFonts w:ascii="Poppins" w:eastAsia="Times New Roman" w:hAnsi="Poppins" w:cs="Poppins"/>
          <w:sz w:val="21"/>
          <w:szCs w:val="21"/>
        </w:rPr>
        <w:t>”</w:t>
      </w:r>
      <w:r w:rsidRPr="00376773">
        <w:rPr>
          <w:rFonts w:ascii="Poppins" w:eastAsia="Times New Roman" w:hAnsi="Poppins" w:cs="Poppins"/>
          <w:sz w:val="21"/>
          <w:szCs w:val="21"/>
        </w:rPr>
        <w:t xml:space="preserve"> w stolicy kosztował średnio </w:t>
      </w:r>
      <w:r w:rsidR="003B71D4">
        <w:rPr>
          <w:rFonts w:ascii="Poppins" w:eastAsia="Times New Roman" w:hAnsi="Poppins" w:cs="Poppins"/>
          <w:sz w:val="21"/>
          <w:szCs w:val="21"/>
        </w:rPr>
        <w:t>ok.</w:t>
      </w:r>
      <w:r w:rsidRPr="00376773">
        <w:rPr>
          <w:rFonts w:ascii="Poppins" w:eastAsia="Times New Roman" w:hAnsi="Poppins" w:cs="Poppins"/>
          <w:sz w:val="21"/>
          <w:szCs w:val="21"/>
        </w:rPr>
        <w:t xml:space="preserve"> 11 tys. zł! </w:t>
      </w:r>
    </w:p>
    <w:p w14:paraId="4EE7A846" w14:textId="7A60AD72" w:rsidR="000B2F75" w:rsidRPr="00376773" w:rsidRDefault="000B2F75" w:rsidP="003767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376773">
        <w:rPr>
          <w:rFonts w:ascii="Poppins" w:eastAsia="Times New Roman" w:hAnsi="Poppins" w:cs="Poppins"/>
          <w:noProof/>
          <w:color w:val="23232D"/>
          <w:sz w:val="21"/>
          <w:szCs w:val="21"/>
          <w:lang w:eastAsia="pl-PL"/>
        </w:rPr>
        <w:drawing>
          <wp:inline distT="0" distB="0" distL="0" distR="0" wp14:anchorId="1DD3516E" wp14:editId="7AECCF07">
            <wp:extent cx="5562600" cy="3047046"/>
            <wp:effectExtent l="0" t="0" r="0" b="1270"/>
            <wp:docPr id="764432594" name="Obraz 4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32594" name="Obraz 4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47" cy="30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1046F" w14:textId="18FF2C51" w:rsidR="000B2F75" w:rsidRPr="00376773" w:rsidRDefault="003B1317" w:rsidP="00376773">
      <w:pPr>
        <w:shd w:val="clear" w:color="auto" w:fill="FFFFFF"/>
        <w:spacing w:before="100" w:beforeAutospacing="1" w:after="100" w:afterAutospacing="1"/>
        <w:jc w:val="both"/>
        <w:rPr>
          <w:rFonts w:ascii="Poppins" w:hAnsi="Poppins" w:cs="Poppins"/>
          <w:color w:val="000000"/>
          <w:sz w:val="21"/>
          <w:szCs w:val="21"/>
          <w:shd w:val="clear" w:color="auto" w:fill="FFFFFF"/>
        </w:rPr>
      </w:pPr>
      <w:r w:rsidRPr="00376773">
        <w:rPr>
          <w:rFonts w:ascii="Poppins" w:hAnsi="Poppins" w:cs="Poppins"/>
          <w:sz w:val="21"/>
          <w:szCs w:val="21"/>
        </w:rPr>
        <w:t>Z</w:t>
      </w:r>
      <w:r w:rsidR="000B2F75" w:rsidRPr="00376773">
        <w:rPr>
          <w:rFonts w:ascii="Poppins" w:hAnsi="Poppins" w:cs="Poppins"/>
          <w:sz w:val="21"/>
          <w:szCs w:val="21"/>
        </w:rPr>
        <w:t xml:space="preserve"> każdym miesiącem z oferty deweloperów błyskawicznie znikają mieszkania z ceną poniżej 10 tys. zł za metr kwadratowy.</w:t>
      </w:r>
      <w:r w:rsidR="000B2F75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W </w:t>
      </w:r>
      <w:r w:rsidR="000B2F75" w:rsidRPr="00376773">
        <w:rPr>
          <w:rFonts w:ascii="Poppins" w:hAnsi="Poppins" w:cs="Poppins"/>
          <w:sz w:val="21"/>
          <w:szCs w:val="21"/>
        </w:rPr>
        <w:t>ofercie krakowskich deweloperów już ich nie ma</w:t>
      </w:r>
      <w:r w:rsidR="000B2F75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, zaś w </w:t>
      </w:r>
      <w:r w:rsidR="000B2F75" w:rsidRPr="00376773">
        <w:rPr>
          <w:rFonts w:ascii="Poppins" w:hAnsi="Poppins" w:cs="Poppins"/>
          <w:sz w:val="21"/>
          <w:szCs w:val="21"/>
          <w:shd w:val="clear" w:color="auto" w:fill="FFFFFF"/>
        </w:rPr>
        <w:t xml:space="preserve">Warszawie znalezienie graniczy z cudem. </w:t>
      </w:r>
      <w:r w:rsidR="000B2F75" w:rsidRPr="0037677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 Łodzi jeszcze osiem miesięcy temu ponad połowa nowych mieszkań kosztowało mniej. Obecnie stanowią 27% oferty firm deweloperskich</w:t>
      </w:r>
      <w:r w:rsidR="007605F8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.</w:t>
      </w:r>
    </w:p>
    <w:p w14:paraId="4132F372" w14:textId="682C3963" w:rsidR="003C6041" w:rsidRPr="001D0ABA" w:rsidRDefault="000B2F75" w:rsidP="001D0ABA">
      <w:pPr>
        <w:jc w:val="center"/>
        <w:rPr>
          <w:rFonts w:ascii="Poppins" w:hAnsi="Poppins" w:cs="Poppins"/>
          <w:sz w:val="21"/>
          <w:szCs w:val="21"/>
        </w:rPr>
      </w:pPr>
      <w:r w:rsidRPr="00376773">
        <w:rPr>
          <w:rFonts w:ascii="Poppins" w:hAnsi="Poppins" w:cs="Poppins"/>
          <w:noProof/>
          <w:sz w:val="21"/>
          <w:szCs w:val="21"/>
        </w:rPr>
        <w:lastRenderedPageBreak/>
        <w:drawing>
          <wp:inline distT="0" distB="0" distL="0" distR="0" wp14:anchorId="63776991" wp14:editId="0ACD240D">
            <wp:extent cx="5421688" cy="3726180"/>
            <wp:effectExtent l="0" t="0" r="7620" b="7620"/>
            <wp:docPr id="365101687" name="Obraz 6" descr="Obraz zawierający tekst, zrzut ekranu, Wielobarwność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1687" name="Obraz 6" descr="Obraz zawierający tekst, zrzut ekranu, Wielobarwność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69" cy="373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75299627"/>
    </w:p>
    <w:p w14:paraId="0F6E7E84" w14:textId="4EC8596F" w:rsidR="007E3701" w:rsidRPr="007E3701" w:rsidRDefault="007E3701" w:rsidP="007E37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hAnsi="Poppins" w:cs="Poppins"/>
        </w:rPr>
      </w:pPr>
    </w:p>
    <w:p w14:paraId="5E0C07B8" w14:textId="77777777" w:rsidR="00A91ED6" w:rsidRDefault="00A91ED6" w:rsidP="00FB57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</w:p>
    <w:p w14:paraId="4D277696" w14:textId="77777777" w:rsidR="00A551EE" w:rsidRDefault="00A551EE" w:rsidP="00FB57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</w:p>
    <w:bookmarkEnd w:id="0"/>
    <w:bookmarkEnd w:id="1"/>
    <w:p w14:paraId="772465AB" w14:textId="77777777" w:rsidR="00A551EE" w:rsidRDefault="00A551EE" w:rsidP="00FB57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</w:p>
    <w:sectPr w:rsidR="00A551EE" w:rsidSect="001C65EA">
      <w:headerReference w:type="default" r:id="rId15"/>
      <w:pgSz w:w="11906" w:h="16838"/>
      <w:pgMar w:top="720" w:right="720" w:bottom="720" w:left="72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FC34F" w14:textId="77777777" w:rsidR="009B05B8" w:rsidRDefault="009B05B8" w:rsidP="00E533BD">
      <w:pPr>
        <w:spacing w:after="0" w:line="240" w:lineRule="auto"/>
      </w:pPr>
      <w:r>
        <w:separator/>
      </w:r>
    </w:p>
  </w:endnote>
  <w:endnote w:type="continuationSeparator" w:id="0">
    <w:p w14:paraId="65C4487A" w14:textId="77777777" w:rsidR="009B05B8" w:rsidRDefault="009B05B8" w:rsidP="00E5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17E8D" w14:textId="77777777" w:rsidR="009B05B8" w:rsidRDefault="009B05B8" w:rsidP="00E533BD">
      <w:pPr>
        <w:spacing w:after="0" w:line="240" w:lineRule="auto"/>
      </w:pPr>
      <w:r>
        <w:separator/>
      </w:r>
    </w:p>
  </w:footnote>
  <w:footnote w:type="continuationSeparator" w:id="0">
    <w:p w14:paraId="33B7A75E" w14:textId="77777777" w:rsidR="009B05B8" w:rsidRDefault="009B05B8" w:rsidP="00E5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F483D" w14:textId="31C0457E" w:rsidR="00E533BD" w:rsidRDefault="00DA7D8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49997B" wp14:editId="064C2B69">
          <wp:simplePos x="0" y="0"/>
          <wp:positionH relativeFrom="page">
            <wp:posOffset>28575</wp:posOffset>
          </wp:positionH>
          <wp:positionV relativeFrom="paragraph">
            <wp:posOffset>-624205</wp:posOffset>
          </wp:positionV>
          <wp:extent cx="7496810" cy="1033145"/>
          <wp:effectExtent l="0" t="0" r="0" b="0"/>
          <wp:wrapThrough wrapText="bothSides">
            <wp:wrapPolygon edited="0">
              <wp:start x="1427" y="4779"/>
              <wp:lineTo x="1153" y="6771"/>
              <wp:lineTo x="878" y="9559"/>
              <wp:lineTo x="933" y="15533"/>
              <wp:lineTo x="9331" y="18321"/>
              <wp:lineTo x="19211" y="19117"/>
              <wp:lineTo x="20693" y="19117"/>
              <wp:lineTo x="20693" y="18321"/>
              <wp:lineTo x="18717" y="11948"/>
              <wp:lineTo x="18826" y="8364"/>
              <wp:lineTo x="16302" y="7567"/>
              <wp:lineTo x="1921" y="4779"/>
              <wp:lineTo x="1427" y="4779"/>
            </wp:wrapPolygon>
          </wp:wrapThrough>
          <wp:docPr id="344518657" name="Grafika 344518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" r="7"/>
                  <a:stretch>
                    <a:fillRect/>
                  </a:stretch>
                </pic:blipFill>
                <pic:spPr>
                  <a:xfrm>
                    <a:off x="0" y="0"/>
                    <a:ext cx="7496810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06C">
      <w:ptab w:relativeTo="margin" w:alignment="center" w:leader="none"/>
    </w:r>
    <w:r w:rsidR="00FB7A20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132F6"/>
    <w:multiLevelType w:val="hybridMultilevel"/>
    <w:tmpl w:val="8B5E1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B6B"/>
    <w:multiLevelType w:val="hybridMultilevel"/>
    <w:tmpl w:val="50A42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247B3"/>
    <w:multiLevelType w:val="hybridMultilevel"/>
    <w:tmpl w:val="B94E57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6AD3"/>
    <w:multiLevelType w:val="hybridMultilevel"/>
    <w:tmpl w:val="E5B6F8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80627"/>
    <w:multiLevelType w:val="hybridMultilevel"/>
    <w:tmpl w:val="05386E3A"/>
    <w:lvl w:ilvl="0" w:tplc="E164621A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54D1B"/>
    <w:multiLevelType w:val="hybridMultilevel"/>
    <w:tmpl w:val="7B481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52262"/>
    <w:multiLevelType w:val="hybridMultilevel"/>
    <w:tmpl w:val="A9B64E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250DA"/>
    <w:multiLevelType w:val="hybridMultilevel"/>
    <w:tmpl w:val="F6F6F3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C628B"/>
    <w:multiLevelType w:val="hybridMultilevel"/>
    <w:tmpl w:val="56B00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34C4A"/>
    <w:multiLevelType w:val="hybridMultilevel"/>
    <w:tmpl w:val="5BBED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959DD"/>
    <w:multiLevelType w:val="hybridMultilevel"/>
    <w:tmpl w:val="78C46C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94B54"/>
    <w:multiLevelType w:val="hybridMultilevel"/>
    <w:tmpl w:val="58BC9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355305">
    <w:abstractNumId w:val="5"/>
  </w:num>
  <w:num w:numId="2" w16cid:durableId="555049282">
    <w:abstractNumId w:val="0"/>
  </w:num>
  <w:num w:numId="3" w16cid:durableId="1982610543">
    <w:abstractNumId w:val="2"/>
  </w:num>
  <w:num w:numId="4" w16cid:durableId="1022822128">
    <w:abstractNumId w:val="1"/>
  </w:num>
  <w:num w:numId="5" w16cid:durableId="1641381131">
    <w:abstractNumId w:val="3"/>
  </w:num>
  <w:num w:numId="6" w16cid:durableId="1967351203">
    <w:abstractNumId w:val="6"/>
  </w:num>
  <w:num w:numId="7" w16cid:durableId="1589997633">
    <w:abstractNumId w:val="7"/>
  </w:num>
  <w:num w:numId="8" w16cid:durableId="1244800905">
    <w:abstractNumId w:val="10"/>
  </w:num>
  <w:num w:numId="9" w16cid:durableId="1512571355">
    <w:abstractNumId w:val="11"/>
  </w:num>
  <w:num w:numId="10" w16cid:durableId="1442261822">
    <w:abstractNumId w:val="8"/>
  </w:num>
  <w:num w:numId="11" w16cid:durableId="20450140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01984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D"/>
    <w:rsid w:val="00001863"/>
    <w:rsid w:val="000024F7"/>
    <w:rsid w:val="000061D9"/>
    <w:rsid w:val="000064B4"/>
    <w:rsid w:val="00007107"/>
    <w:rsid w:val="00010FEA"/>
    <w:rsid w:val="0001321E"/>
    <w:rsid w:val="00015274"/>
    <w:rsid w:val="00016290"/>
    <w:rsid w:val="0002559A"/>
    <w:rsid w:val="000255B0"/>
    <w:rsid w:val="000311F2"/>
    <w:rsid w:val="00044139"/>
    <w:rsid w:val="00045687"/>
    <w:rsid w:val="00056E3E"/>
    <w:rsid w:val="00057F54"/>
    <w:rsid w:val="00064DEF"/>
    <w:rsid w:val="00070677"/>
    <w:rsid w:val="00075299"/>
    <w:rsid w:val="00075310"/>
    <w:rsid w:val="0007784C"/>
    <w:rsid w:val="00080FF6"/>
    <w:rsid w:val="000867F4"/>
    <w:rsid w:val="00087149"/>
    <w:rsid w:val="000911B9"/>
    <w:rsid w:val="000A2552"/>
    <w:rsid w:val="000A6618"/>
    <w:rsid w:val="000B0DCB"/>
    <w:rsid w:val="000B0FC0"/>
    <w:rsid w:val="000B2F75"/>
    <w:rsid w:val="000B3992"/>
    <w:rsid w:val="000C1C14"/>
    <w:rsid w:val="000C2C30"/>
    <w:rsid w:val="000C43DB"/>
    <w:rsid w:val="000C497D"/>
    <w:rsid w:val="000D0E2C"/>
    <w:rsid w:val="000D639E"/>
    <w:rsid w:val="000D7339"/>
    <w:rsid w:val="000E427E"/>
    <w:rsid w:val="000F0B92"/>
    <w:rsid w:val="000F2327"/>
    <w:rsid w:val="000F2A84"/>
    <w:rsid w:val="000F546E"/>
    <w:rsid w:val="000F58ED"/>
    <w:rsid w:val="001003CF"/>
    <w:rsid w:val="00106C6C"/>
    <w:rsid w:val="00114871"/>
    <w:rsid w:val="0011606C"/>
    <w:rsid w:val="001175D2"/>
    <w:rsid w:val="00117BB8"/>
    <w:rsid w:val="001219B8"/>
    <w:rsid w:val="0012484B"/>
    <w:rsid w:val="001275C6"/>
    <w:rsid w:val="00132788"/>
    <w:rsid w:val="001328B9"/>
    <w:rsid w:val="001346BB"/>
    <w:rsid w:val="001520CE"/>
    <w:rsid w:val="00156218"/>
    <w:rsid w:val="00156998"/>
    <w:rsid w:val="00157E64"/>
    <w:rsid w:val="00160B41"/>
    <w:rsid w:val="0017068C"/>
    <w:rsid w:val="001707F3"/>
    <w:rsid w:val="001717DE"/>
    <w:rsid w:val="00171955"/>
    <w:rsid w:val="00173526"/>
    <w:rsid w:val="00176DE5"/>
    <w:rsid w:val="001817C9"/>
    <w:rsid w:val="00182A25"/>
    <w:rsid w:val="00182F7C"/>
    <w:rsid w:val="0018306C"/>
    <w:rsid w:val="00193531"/>
    <w:rsid w:val="00194693"/>
    <w:rsid w:val="001C3248"/>
    <w:rsid w:val="001C65EA"/>
    <w:rsid w:val="001C726B"/>
    <w:rsid w:val="001D0ABA"/>
    <w:rsid w:val="001D7997"/>
    <w:rsid w:val="001E19C9"/>
    <w:rsid w:val="001E1FBC"/>
    <w:rsid w:val="001E2DC0"/>
    <w:rsid w:val="001E46F6"/>
    <w:rsid w:val="001E5DFD"/>
    <w:rsid w:val="001F548C"/>
    <w:rsid w:val="001F72F7"/>
    <w:rsid w:val="001F73F3"/>
    <w:rsid w:val="00203307"/>
    <w:rsid w:val="00206E2D"/>
    <w:rsid w:val="00212682"/>
    <w:rsid w:val="00216F7F"/>
    <w:rsid w:val="00223C03"/>
    <w:rsid w:val="002339D8"/>
    <w:rsid w:val="00236BFB"/>
    <w:rsid w:val="00240AAA"/>
    <w:rsid w:val="002425A7"/>
    <w:rsid w:val="00244376"/>
    <w:rsid w:val="0025393F"/>
    <w:rsid w:val="00253B29"/>
    <w:rsid w:val="002543AF"/>
    <w:rsid w:val="00254DE4"/>
    <w:rsid w:val="00255849"/>
    <w:rsid w:val="00263B68"/>
    <w:rsid w:val="0026404D"/>
    <w:rsid w:val="0027120F"/>
    <w:rsid w:val="00272F48"/>
    <w:rsid w:val="00280CF7"/>
    <w:rsid w:val="00284C56"/>
    <w:rsid w:val="00286BC4"/>
    <w:rsid w:val="00290153"/>
    <w:rsid w:val="002905DA"/>
    <w:rsid w:val="00293F01"/>
    <w:rsid w:val="002A2E77"/>
    <w:rsid w:val="002A49F4"/>
    <w:rsid w:val="002A5789"/>
    <w:rsid w:val="002A5C18"/>
    <w:rsid w:val="002C3A0A"/>
    <w:rsid w:val="002C7452"/>
    <w:rsid w:val="002D244C"/>
    <w:rsid w:val="002D40D5"/>
    <w:rsid w:val="002D7839"/>
    <w:rsid w:val="002E6753"/>
    <w:rsid w:val="002E7076"/>
    <w:rsid w:val="002F7F71"/>
    <w:rsid w:val="003007CB"/>
    <w:rsid w:val="0030376C"/>
    <w:rsid w:val="00304648"/>
    <w:rsid w:val="00317554"/>
    <w:rsid w:val="00331728"/>
    <w:rsid w:val="003323CD"/>
    <w:rsid w:val="00335BD1"/>
    <w:rsid w:val="00335D76"/>
    <w:rsid w:val="00340605"/>
    <w:rsid w:val="003434DA"/>
    <w:rsid w:val="003632CC"/>
    <w:rsid w:val="00367682"/>
    <w:rsid w:val="003676AC"/>
    <w:rsid w:val="00376773"/>
    <w:rsid w:val="00377A19"/>
    <w:rsid w:val="00377A5C"/>
    <w:rsid w:val="00377F82"/>
    <w:rsid w:val="003801D9"/>
    <w:rsid w:val="0038348E"/>
    <w:rsid w:val="00393222"/>
    <w:rsid w:val="00396407"/>
    <w:rsid w:val="00397C40"/>
    <w:rsid w:val="003A5160"/>
    <w:rsid w:val="003A556B"/>
    <w:rsid w:val="003A753E"/>
    <w:rsid w:val="003B1317"/>
    <w:rsid w:val="003B2075"/>
    <w:rsid w:val="003B4D48"/>
    <w:rsid w:val="003B71D4"/>
    <w:rsid w:val="003C6041"/>
    <w:rsid w:val="003C6FBF"/>
    <w:rsid w:val="003C74F0"/>
    <w:rsid w:val="003C7C2D"/>
    <w:rsid w:val="003D28BE"/>
    <w:rsid w:val="003D6527"/>
    <w:rsid w:val="003E1300"/>
    <w:rsid w:val="003F4D95"/>
    <w:rsid w:val="004069F6"/>
    <w:rsid w:val="00410562"/>
    <w:rsid w:val="00414F41"/>
    <w:rsid w:val="004240DF"/>
    <w:rsid w:val="00430A77"/>
    <w:rsid w:val="00433EAC"/>
    <w:rsid w:val="00442968"/>
    <w:rsid w:val="00442EBD"/>
    <w:rsid w:val="00445E56"/>
    <w:rsid w:val="00446F40"/>
    <w:rsid w:val="00447A69"/>
    <w:rsid w:val="0045420A"/>
    <w:rsid w:val="00460BC9"/>
    <w:rsid w:val="004647DF"/>
    <w:rsid w:val="00473987"/>
    <w:rsid w:val="00481A01"/>
    <w:rsid w:val="00491578"/>
    <w:rsid w:val="00495DCB"/>
    <w:rsid w:val="00496B22"/>
    <w:rsid w:val="004B13A7"/>
    <w:rsid w:val="004B34BB"/>
    <w:rsid w:val="004C2F47"/>
    <w:rsid w:val="004C4395"/>
    <w:rsid w:val="004C45CD"/>
    <w:rsid w:val="004C741A"/>
    <w:rsid w:val="004D6F30"/>
    <w:rsid w:val="004E74DB"/>
    <w:rsid w:val="004F65C3"/>
    <w:rsid w:val="004F791A"/>
    <w:rsid w:val="00504683"/>
    <w:rsid w:val="00504701"/>
    <w:rsid w:val="00506150"/>
    <w:rsid w:val="0050728D"/>
    <w:rsid w:val="00507867"/>
    <w:rsid w:val="00507B27"/>
    <w:rsid w:val="0051474C"/>
    <w:rsid w:val="0053121A"/>
    <w:rsid w:val="005329D7"/>
    <w:rsid w:val="00532B40"/>
    <w:rsid w:val="00537732"/>
    <w:rsid w:val="005428ED"/>
    <w:rsid w:val="00546023"/>
    <w:rsid w:val="00563DA8"/>
    <w:rsid w:val="00565B3F"/>
    <w:rsid w:val="00571D71"/>
    <w:rsid w:val="005727C0"/>
    <w:rsid w:val="005747BD"/>
    <w:rsid w:val="005756AC"/>
    <w:rsid w:val="00583E9C"/>
    <w:rsid w:val="005853F1"/>
    <w:rsid w:val="00595106"/>
    <w:rsid w:val="005A52CF"/>
    <w:rsid w:val="005B272B"/>
    <w:rsid w:val="005B6EC7"/>
    <w:rsid w:val="005B7A80"/>
    <w:rsid w:val="005C2CA9"/>
    <w:rsid w:val="005C7B87"/>
    <w:rsid w:val="005D03E9"/>
    <w:rsid w:val="005D0779"/>
    <w:rsid w:val="005D60E5"/>
    <w:rsid w:val="005D6829"/>
    <w:rsid w:val="005E154B"/>
    <w:rsid w:val="00600FF7"/>
    <w:rsid w:val="00606425"/>
    <w:rsid w:val="00610A0D"/>
    <w:rsid w:val="00612ED4"/>
    <w:rsid w:val="006135AD"/>
    <w:rsid w:val="00613995"/>
    <w:rsid w:val="006170B5"/>
    <w:rsid w:val="0062011E"/>
    <w:rsid w:val="00623BD6"/>
    <w:rsid w:val="00635282"/>
    <w:rsid w:val="0064087E"/>
    <w:rsid w:val="00655E69"/>
    <w:rsid w:val="00656A92"/>
    <w:rsid w:val="0066120E"/>
    <w:rsid w:val="0066231E"/>
    <w:rsid w:val="006644B0"/>
    <w:rsid w:val="00693D0A"/>
    <w:rsid w:val="006A6D7E"/>
    <w:rsid w:val="006A6D8E"/>
    <w:rsid w:val="006B7E4A"/>
    <w:rsid w:val="006C07E3"/>
    <w:rsid w:val="006C6EED"/>
    <w:rsid w:val="006C7246"/>
    <w:rsid w:val="006D1A53"/>
    <w:rsid w:val="006D348D"/>
    <w:rsid w:val="006D7F50"/>
    <w:rsid w:val="006E144D"/>
    <w:rsid w:val="006E194D"/>
    <w:rsid w:val="006E2ED3"/>
    <w:rsid w:val="006E6F25"/>
    <w:rsid w:val="006F0A66"/>
    <w:rsid w:val="006F1831"/>
    <w:rsid w:val="006F28DE"/>
    <w:rsid w:val="006F2CCA"/>
    <w:rsid w:val="006F5165"/>
    <w:rsid w:val="006F74A5"/>
    <w:rsid w:val="007016FC"/>
    <w:rsid w:val="007027E8"/>
    <w:rsid w:val="00704DF8"/>
    <w:rsid w:val="00705C06"/>
    <w:rsid w:val="007140E1"/>
    <w:rsid w:val="00715488"/>
    <w:rsid w:val="00720322"/>
    <w:rsid w:val="00722C59"/>
    <w:rsid w:val="00725402"/>
    <w:rsid w:val="00726A64"/>
    <w:rsid w:val="00741E7D"/>
    <w:rsid w:val="00744A6F"/>
    <w:rsid w:val="00745595"/>
    <w:rsid w:val="007461EC"/>
    <w:rsid w:val="00746877"/>
    <w:rsid w:val="007468DE"/>
    <w:rsid w:val="00747B78"/>
    <w:rsid w:val="007503A6"/>
    <w:rsid w:val="00751153"/>
    <w:rsid w:val="0075133A"/>
    <w:rsid w:val="00754EA9"/>
    <w:rsid w:val="007605F8"/>
    <w:rsid w:val="00765ECA"/>
    <w:rsid w:val="00774726"/>
    <w:rsid w:val="00781717"/>
    <w:rsid w:val="00782C3E"/>
    <w:rsid w:val="007876CF"/>
    <w:rsid w:val="00793B7D"/>
    <w:rsid w:val="007A2161"/>
    <w:rsid w:val="007A2AED"/>
    <w:rsid w:val="007B677A"/>
    <w:rsid w:val="007C50E5"/>
    <w:rsid w:val="007C6EA0"/>
    <w:rsid w:val="007C7E18"/>
    <w:rsid w:val="007D4CA7"/>
    <w:rsid w:val="007E3701"/>
    <w:rsid w:val="007E3768"/>
    <w:rsid w:val="007E46B1"/>
    <w:rsid w:val="007E4782"/>
    <w:rsid w:val="007E6438"/>
    <w:rsid w:val="007F0FB6"/>
    <w:rsid w:val="007F16BC"/>
    <w:rsid w:val="007F3FFA"/>
    <w:rsid w:val="008017F8"/>
    <w:rsid w:val="00801EEA"/>
    <w:rsid w:val="00804614"/>
    <w:rsid w:val="00805026"/>
    <w:rsid w:val="00810705"/>
    <w:rsid w:val="00812942"/>
    <w:rsid w:val="00817686"/>
    <w:rsid w:val="00825482"/>
    <w:rsid w:val="00825AD9"/>
    <w:rsid w:val="00832AF7"/>
    <w:rsid w:val="00836B91"/>
    <w:rsid w:val="00840A01"/>
    <w:rsid w:val="008455D9"/>
    <w:rsid w:val="008466F0"/>
    <w:rsid w:val="00846E5C"/>
    <w:rsid w:val="00855461"/>
    <w:rsid w:val="00864469"/>
    <w:rsid w:val="00865438"/>
    <w:rsid w:val="00871168"/>
    <w:rsid w:val="00872116"/>
    <w:rsid w:val="008745C5"/>
    <w:rsid w:val="00881AA6"/>
    <w:rsid w:val="00883A09"/>
    <w:rsid w:val="00884A9A"/>
    <w:rsid w:val="00886E1A"/>
    <w:rsid w:val="00892A7C"/>
    <w:rsid w:val="008A0725"/>
    <w:rsid w:val="008A0FDF"/>
    <w:rsid w:val="008A109B"/>
    <w:rsid w:val="008A1559"/>
    <w:rsid w:val="008A2300"/>
    <w:rsid w:val="008A7207"/>
    <w:rsid w:val="008A7FB1"/>
    <w:rsid w:val="008B5BDC"/>
    <w:rsid w:val="008B770C"/>
    <w:rsid w:val="008C004E"/>
    <w:rsid w:val="008C4684"/>
    <w:rsid w:val="008C5490"/>
    <w:rsid w:val="008C55BD"/>
    <w:rsid w:val="008D0556"/>
    <w:rsid w:val="008D0FA6"/>
    <w:rsid w:val="008D2313"/>
    <w:rsid w:val="008E239F"/>
    <w:rsid w:val="008E3F84"/>
    <w:rsid w:val="008F7B1C"/>
    <w:rsid w:val="0090154D"/>
    <w:rsid w:val="00902FF7"/>
    <w:rsid w:val="009032D8"/>
    <w:rsid w:val="00905B12"/>
    <w:rsid w:val="0091278B"/>
    <w:rsid w:val="009133A8"/>
    <w:rsid w:val="009232E8"/>
    <w:rsid w:val="00923D90"/>
    <w:rsid w:val="00944E9D"/>
    <w:rsid w:val="00945D82"/>
    <w:rsid w:val="00946A9B"/>
    <w:rsid w:val="009529D5"/>
    <w:rsid w:val="00960D32"/>
    <w:rsid w:val="00965523"/>
    <w:rsid w:val="00967D21"/>
    <w:rsid w:val="00970819"/>
    <w:rsid w:val="009714AC"/>
    <w:rsid w:val="009809A4"/>
    <w:rsid w:val="00980E04"/>
    <w:rsid w:val="00981059"/>
    <w:rsid w:val="00983BAF"/>
    <w:rsid w:val="00990AA6"/>
    <w:rsid w:val="009910CD"/>
    <w:rsid w:val="009A324B"/>
    <w:rsid w:val="009A3D85"/>
    <w:rsid w:val="009A4AA4"/>
    <w:rsid w:val="009A55A3"/>
    <w:rsid w:val="009A5BD7"/>
    <w:rsid w:val="009A7770"/>
    <w:rsid w:val="009B05B8"/>
    <w:rsid w:val="009C0376"/>
    <w:rsid w:val="009C2310"/>
    <w:rsid w:val="009C234B"/>
    <w:rsid w:val="009D452D"/>
    <w:rsid w:val="009E01D9"/>
    <w:rsid w:val="009E241E"/>
    <w:rsid w:val="009E428A"/>
    <w:rsid w:val="009E7039"/>
    <w:rsid w:val="00A0126E"/>
    <w:rsid w:val="00A048B6"/>
    <w:rsid w:val="00A07151"/>
    <w:rsid w:val="00A17286"/>
    <w:rsid w:val="00A17D1B"/>
    <w:rsid w:val="00A200C6"/>
    <w:rsid w:val="00A22BCB"/>
    <w:rsid w:val="00A24093"/>
    <w:rsid w:val="00A3220B"/>
    <w:rsid w:val="00A36DA0"/>
    <w:rsid w:val="00A43266"/>
    <w:rsid w:val="00A478CB"/>
    <w:rsid w:val="00A51869"/>
    <w:rsid w:val="00A547BE"/>
    <w:rsid w:val="00A54D4A"/>
    <w:rsid w:val="00A551EE"/>
    <w:rsid w:val="00A552AB"/>
    <w:rsid w:val="00A64C0A"/>
    <w:rsid w:val="00A67ABA"/>
    <w:rsid w:val="00A700BD"/>
    <w:rsid w:val="00A806E4"/>
    <w:rsid w:val="00A81BE6"/>
    <w:rsid w:val="00A90088"/>
    <w:rsid w:val="00A90407"/>
    <w:rsid w:val="00A90FB0"/>
    <w:rsid w:val="00A9121D"/>
    <w:rsid w:val="00A91ED6"/>
    <w:rsid w:val="00A924CC"/>
    <w:rsid w:val="00AA2239"/>
    <w:rsid w:val="00AC69E1"/>
    <w:rsid w:val="00AD0D32"/>
    <w:rsid w:val="00AD5306"/>
    <w:rsid w:val="00AF5B18"/>
    <w:rsid w:val="00AF6C7F"/>
    <w:rsid w:val="00B03896"/>
    <w:rsid w:val="00B13E32"/>
    <w:rsid w:val="00B141B2"/>
    <w:rsid w:val="00B17438"/>
    <w:rsid w:val="00B17444"/>
    <w:rsid w:val="00B238FA"/>
    <w:rsid w:val="00B24C21"/>
    <w:rsid w:val="00B31F08"/>
    <w:rsid w:val="00B33F85"/>
    <w:rsid w:val="00B357EC"/>
    <w:rsid w:val="00B407A1"/>
    <w:rsid w:val="00B41266"/>
    <w:rsid w:val="00B420E5"/>
    <w:rsid w:val="00B42848"/>
    <w:rsid w:val="00B430F1"/>
    <w:rsid w:val="00B5163B"/>
    <w:rsid w:val="00B52215"/>
    <w:rsid w:val="00B528F9"/>
    <w:rsid w:val="00B5353F"/>
    <w:rsid w:val="00B549FD"/>
    <w:rsid w:val="00B55537"/>
    <w:rsid w:val="00B56DBE"/>
    <w:rsid w:val="00B6280B"/>
    <w:rsid w:val="00B6641D"/>
    <w:rsid w:val="00B675F4"/>
    <w:rsid w:val="00B7492E"/>
    <w:rsid w:val="00B7728E"/>
    <w:rsid w:val="00B90C5F"/>
    <w:rsid w:val="00BA0C8F"/>
    <w:rsid w:val="00BA1CAD"/>
    <w:rsid w:val="00BA48E5"/>
    <w:rsid w:val="00BA4AE2"/>
    <w:rsid w:val="00BA5DA4"/>
    <w:rsid w:val="00BB63E5"/>
    <w:rsid w:val="00BC0CC0"/>
    <w:rsid w:val="00BC64E8"/>
    <w:rsid w:val="00BD4C40"/>
    <w:rsid w:val="00BE27DB"/>
    <w:rsid w:val="00BE548A"/>
    <w:rsid w:val="00BE5C06"/>
    <w:rsid w:val="00BF15C2"/>
    <w:rsid w:val="00BF21C7"/>
    <w:rsid w:val="00BF250A"/>
    <w:rsid w:val="00BF285E"/>
    <w:rsid w:val="00BF2F46"/>
    <w:rsid w:val="00BF354C"/>
    <w:rsid w:val="00BF430F"/>
    <w:rsid w:val="00BF7A54"/>
    <w:rsid w:val="00BF7A81"/>
    <w:rsid w:val="00C01224"/>
    <w:rsid w:val="00C02110"/>
    <w:rsid w:val="00C05921"/>
    <w:rsid w:val="00C11095"/>
    <w:rsid w:val="00C12248"/>
    <w:rsid w:val="00C202D9"/>
    <w:rsid w:val="00C20785"/>
    <w:rsid w:val="00C23558"/>
    <w:rsid w:val="00C244E4"/>
    <w:rsid w:val="00C35B7E"/>
    <w:rsid w:val="00C50A12"/>
    <w:rsid w:val="00C55528"/>
    <w:rsid w:val="00C73133"/>
    <w:rsid w:val="00C7322F"/>
    <w:rsid w:val="00C768C2"/>
    <w:rsid w:val="00C8653A"/>
    <w:rsid w:val="00C925B3"/>
    <w:rsid w:val="00C940D0"/>
    <w:rsid w:val="00CA2956"/>
    <w:rsid w:val="00CA33AD"/>
    <w:rsid w:val="00CA47CA"/>
    <w:rsid w:val="00CA4F5B"/>
    <w:rsid w:val="00CB1B68"/>
    <w:rsid w:val="00CB754D"/>
    <w:rsid w:val="00CB7C00"/>
    <w:rsid w:val="00CC5797"/>
    <w:rsid w:val="00CC5A26"/>
    <w:rsid w:val="00CD15B5"/>
    <w:rsid w:val="00CD62FC"/>
    <w:rsid w:val="00CF036B"/>
    <w:rsid w:val="00CF051D"/>
    <w:rsid w:val="00D00EFA"/>
    <w:rsid w:val="00D059DB"/>
    <w:rsid w:val="00D061AE"/>
    <w:rsid w:val="00D1044B"/>
    <w:rsid w:val="00D27B6F"/>
    <w:rsid w:val="00D3042F"/>
    <w:rsid w:val="00D320B2"/>
    <w:rsid w:val="00D374E3"/>
    <w:rsid w:val="00D404CA"/>
    <w:rsid w:val="00D455CB"/>
    <w:rsid w:val="00D56734"/>
    <w:rsid w:val="00D56A8C"/>
    <w:rsid w:val="00D57AD9"/>
    <w:rsid w:val="00D61549"/>
    <w:rsid w:val="00D622BD"/>
    <w:rsid w:val="00D72B55"/>
    <w:rsid w:val="00D75392"/>
    <w:rsid w:val="00D80554"/>
    <w:rsid w:val="00D861C4"/>
    <w:rsid w:val="00D87445"/>
    <w:rsid w:val="00D930A4"/>
    <w:rsid w:val="00DA0E39"/>
    <w:rsid w:val="00DA494D"/>
    <w:rsid w:val="00DA72F4"/>
    <w:rsid w:val="00DA75D1"/>
    <w:rsid w:val="00DA7D8F"/>
    <w:rsid w:val="00DB175C"/>
    <w:rsid w:val="00DB22D0"/>
    <w:rsid w:val="00DB5710"/>
    <w:rsid w:val="00DB60A0"/>
    <w:rsid w:val="00DB6718"/>
    <w:rsid w:val="00DC0C5A"/>
    <w:rsid w:val="00DC1870"/>
    <w:rsid w:val="00DC4491"/>
    <w:rsid w:val="00DD07A6"/>
    <w:rsid w:val="00DD6A44"/>
    <w:rsid w:val="00DD7325"/>
    <w:rsid w:val="00DE2B49"/>
    <w:rsid w:val="00DE56B9"/>
    <w:rsid w:val="00DE735F"/>
    <w:rsid w:val="00DF439F"/>
    <w:rsid w:val="00DF446A"/>
    <w:rsid w:val="00E0384E"/>
    <w:rsid w:val="00E04B2B"/>
    <w:rsid w:val="00E11F74"/>
    <w:rsid w:val="00E1681E"/>
    <w:rsid w:val="00E252B1"/>
    <w:rsid w:val="00E25AAC"/>
    <w:rsid w:val="00E3093D"/>
    <w:rsid w:val="00E32A58"/>
    <w:rsid w:val="00E32F03"/>
    <w:rsid w:val="00E367E6"/>
    <w:rsid w:val="00E3719E"/>
    <w:rsid w:val="00E424EF"/>
    <w:rsid w:val="00E440F2"/>
    <w:rsid w:val="00E44C28"/>
    <w:rsid w:val="00E46418"/>
    <w:rsid w:val="00E50A4F"/>
    <w:rsid w:val="00E533BD"/>
    <w:rsid w:val="00E55E92"/>
    <w:rsid w:val="00E71082"/>
    <w:rsid w:val="00E72209"/>
    <w:rsid w:val="00E73303"/>
    <w:rsid w:val="00E80F52"/>
    <w:rsid w:val="00E84E26"/>
    <w:rsid w:val="00E90ECC"/>
    <w:rsid w:val="00EA18AB"/>
    <w:rsid w:val="00EA269B"/>
    <w:rsid w:val="00EA316E"/>
    <w:rsid w:val="00EA3946"/>
    <w:rsid w:val="00EA5612"/>
    <w:rsid w:val="00EA6B8B"/>
    <w:rsid w:val="00EB671C"/>
    <w:rsid w:val="00EB75E3"/>
    <w:rsid w:val="00EC10B9"/>
    <w:rsid w:val="00EC54A4"/>
    <w:rsid w:val="00ED61B2"/>
    <w:rsid w:val="00ED6CE9"/>
    <w:rsid w:val="00EE1DB2"/>
    <w:rsid w:val="00EE7907"/>
    <w:rsid w:val="00EF0383"/>
    <w:rsid w:val="00EF5278"/>
    <w:rsid w:val="00F009B8"/>
    <w:rsid w:val="00F0217E"/>
    <w:rsid w:val="00F06678"/>
    <w:rsid w:val="00F07241"/>
    <w:rsid w:val="00F10CA1"/>
    <w:rsid w:val="00F17553"/>
    <w:rsid w:val="00F21411"/>
    <w:rsid w:val="00F21D5E"/>
    <w:rsid w:val="00F2311C"/>
    <w:rsid w:val="00F27BE9"/>
    <w:rsid w:val="00F27DDC"/>
    <w:rsid w:val="00F32849"/>
    <w:rsid w:val="00F342C3"/>
    <w:rsid w:val="00F41972"/>
    <w:rsid w:val="00F4594F"/>
    <w:rsid w:val="00F52BC1"/>
    <w:rsid w:val="00F540C5"/>
    <w:rsid w:val="00F548A5"/>
    <w:rsid w:val="00F57CF9"/>
    <w:rsid w:val="00F60350"/>
    <w:rsid w:val="00F60C6C"/>
    <w:rsid w:val="00F6547E"/>
    <w:rsid w:val="00F72030"/>
    <w:rsid w:val="00F9538E"/>
    <w:rsid w:val="00F95822"/>
    <w:rsid w:val="00F96D36"/>
    <w:rsid w:val="00FA42CC"/>
    <w:rsid w:val="00FA45CA"/>
    <w:rsid w:val="00FB1774"/>
    <w:rsid w:val="00FB40F8"/>
    <w:rsid w:val="00FB5781"/>
    <w:rsid w:val="00FB7A20"/>
    <w:rsid w:val="00FC6E67"/>
    <w:rsid w:val="00FD203F"/>
    <w:rsid w:val="00FD5C22"/>
    <w:rsid w:val="00FE3D1C"/>
    <w:rsid w:val="00FE4A9A"/>
    <w:rsid w:val="00FF1AE0"/>
    <w:rsid w:val="00FF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EF5DA"/>
  <w15:chartTrackingRefBased/>
  <w15:docId w15:val="{F36E7F9C-64BC-455F-93AF-CCB032D6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647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3BD"/>
  </w:style>
  <w:style w:type="paragraph" w:styleId="Stopka">
    <w:name w:val="footer"/>
    <w:basedOn w:val="Normalny"/>
    <w:link w:val="Stopka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3BD"/>
  </w:style>
  <w:style w:type="paragraph" w:styleId="NormalnyWeb">
    <w:name w:val="Normal (Web)"/>
    <w:basedOn w:val="Normalny"/>
    <w:uiPriority w:val="99"/>
    <w:unhideWhenUsed/>
    <w:rsid w:val="00271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7120F"/>
    <w:rPr>
      <w:color w:val="0000FF"/>
      <w:u w:val="single"/>
    </w:rPr>
  </w:style>
  <w:style w:type="character" w:customStyle="1" w:styleId="hgkelc">
    <w:name w:val="hgkelc"/>
    <w:basedOn w:val="Domylnaczcionkaakapitu"/>
    <w:rsid w:val="00E3719E"/>
  </w:style>
  <w:style w:type="character" w:styleId="Pogrubienie">
    <w:name w:val="Strong"/>
    <w:basedOn w:val="Domylnaczcionkaakapitu"/>
    <w:uiPriority w:val="22"/>
    <w:qFormat/>
    <w:rsid w:val="004C4395"/>
    <w:rPr>
      <w:b/>
      <w:bCs/>
    </w:rPr>
  </w:style>
  <w:style w:type="paragraph" w:styleId="Bezodstpw">
    <w:name w:val="No Spacing"/>
    <w:uiPriority w:val="1"/>
    <w:qFormat/>
    <w:rsid w:val="00F27BE9"/>
    <w:pPr>
      <w:spacing w:after="0" w:line="240" w:lineRule="auto"/>
    </w:pPr>
  </w:style>
  <w:style w:type="paragraph" w:customStyle="1" w:styleId="Textbody">
    <w:name w:val="Text body"/>
    <w:basedOn w:val="Normalny"/>
    <w:rsid w:val="00571D71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75392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0E427E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4647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custom-1oer2oc">
    <w:name w:val="custom-1oer2oc"/>
    <w:basedOn w:val="Normalny"/>
    <w:rsid w:val="0046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47B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47B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7B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45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ynekpierwotny.pl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A948-74EE-46C4-AA71-52FAB671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5</Pages>
  <Words>928</Words>
  <Characters>5569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Kazimierczak</dc:creator>
  <cp:keywords/>
  <dc:description/>
  <cp:lastModifiedBy>Mikołaj Ostrowski</cp:lastModifiedBy>
  <cp:revision>335</cp:revision>
  <cp:lastPrinted>2024-03-11T12:14:00Z</cp:lastPrinted>
  <dcterms:created xsi:type="dcterms:W3CDTF">2024-03-07T09:20:00Z</dcterms:created>
  <dcterms:modified xsi:type="dcterms:W3CDTF">2024-09-12T09:49:00Z</dcterms:modified>
</cp:coreProperties>
</file>